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F5" w:rsidRDefault="003C3475">
      <w:pPr>
        <w:pStyle w:val="Titel"/>
        <w:rPr>
          <w:lang w:val="en-US"/>
        </w:rPr>
      </w:pPr>
      <w:r>
        <w:rPr>
          <w:lang w:val="en-US"/>
        </w:rPr>
        <w:t>&lt;Title&gt;</w:t>
      </w:r>
    </w:p>
    <w:p w:rsidR="00811FF5" w:rsidRDefault="003C3475">
      <w:pPr>
        <w:pStyle w:val="Tabellenberschrift"/>
        <w:rPr>
          <w:rFonts w:eastAsia="Microsoft YaHei"/>
          <w:b w:val="0"/>
          <w:bCs w:val="0"/>
          <w:iCs/>
          <w:sz w:val="24"/>
          <w:szCs w:val="28"/>
          <w:lang w:val="en-US"/>
        </w:rPr>
      </w:pPr>
      <w:r>
        <w:rPr>
          <w:rFonts w:eastAsia="Microsoft YaHei"/>
          <w:b w:val="0"/>
          <w:bCs w:val="0"/>
          <w:iCs/>
          <w:sz w:val="24"/>
          <w:szCs w:val="28"/>
          <w:lang w:val="en-US"/>
        </w:rPr>
        <w:t>Offer for an internship at a research institution</w:t>
      </w:r>
    </w:p>
    <w:p w:rsidR="00811FF5" w:rsidRDefault="003C3475">
      <w:pPr>
        <w:pStyle w:val="Tabellenberschrift"/>
        <w:rPr>
          <w:rFonts w:eastAsia="Microsoft YaHei"/>
          <w:b w:val="0"/>
          <w:bCs w:val="0"/>
          <w:iCs/>
          <w:sz w:val="24"/>
          <w:szCs w:val="28"/>
          <w:lang w:val="en-US"/>
        </w:rPr>
      </w:pPr>
      <w:r>
        <w:rPr>
          <w:rFonts w:eastAsia="Microsoft YaHei"/>
          <w:b w:val="0"/>
          <w:bCs w:val="0"/>
          <w:iCs/>
          <w:sz w:val="24"/>
          <w:szCs w:val="28"/>
          <w:lang w:val="en-US"/>
        </w:rPr>
        <w:t xml:space="preserve">Module 8: Practical module in the Master's </w:t>
      </w:r>
      <w:proofErr w:type="spellStart"/>
      <w:r>
        <w:rPr>
          <w:rFonts w:eastAsia="Microsoft YaHei"/>
          <w:b w:val="0"/>
          <w:bCs w:val="0"/>
          <w:iCs/>
          <w:sz w:val="24"/>
          <w:szCs w:val="28"/>
          <w:lang w:val="en-US"/>
        </w:rPr>
        <w:t>programme</w:t>
      </w:r>
      <w:proofErr w:type="spellEnd"/>
    </w:p>
    <w:p w:rsidR="00811FF5" w:rsidRDefault="003C3475">
      <w:pPr>
        <w:pStyle w:val="Tabellenberschrift"/>
        <w:rPr>
          <w:rFonts w:eastAsia="Microsoft YaHei"/>
          <w:b w:val="0"/>
          <w:bCs w:val="0"/>
          <w:iCs/>
          <w:sz w:val="24"/>
          <w:szCs w:val="28"/>
          <w:lang w:val="en-US"/>
        </w:rPr>
      </w:pPr>
      <w:r>
        <w:rPr>
          <w:rFonts w:eastAsia="Microsoft YaHei"/>
          <w:b w:val="0"/>
          <w:bCs w:val="0"/>
          <w:iCs/>
          <w:sz w:val="24"/>
          <w:szCs w:val="28"/>
          <w:lang w:val="en-US"/>
        </w:rPr>
        <w:t>Digital Methods in the Humanities and Cultural Studies (Mainz)</w:t>
      </w:r>
    </w:p>
    <w:p w:rsidR="00811FF5" w:rsidRDefault="003C3475">
      <w:pPr>
        <w:pStyle w:val="Tabellenberschrift"/>
        <w:rPr>
          <w:lang w:val="en-US"/>
        </w:rPr>
      </w:pPr>
      <w:r>
        <w:rPr>
          <w:lang w:val="en-US"/>
        </w:rPr>
        <w:t>General Information</w:t>
      </w:r>
    </w:p>
    <w:tbl>
      <w:tblPr>
        <w:tblW w:w="93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76"/>
        <w:gridCol w:w="6179"/>
      </w:tblGrid>
      <w:tr w:rsidR="00811FF5"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1FF5" w:rsidRDefault="003C3475">
            <w:pPr>
              <w:pStyle w:val="Tabelleninhalt"/>
            </w:pPr>
            <w:r>
              <w:t>Institution</w:t>
            </w:r>
          </w:p>
        </w:tc>
        <w:tc>
          <w:tcPr>
            <w:tcW w:w="6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FF5" w:rsidRDefault="00811FF5">
            <w:pPr>
              <w:pStyle w:val="Tabelleninhalt"/>
            </w:pPr>
          </w:p>
        </w:tc>
      </w:tr>
      <w:tr w:rsidR="00811FF5"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</w:tcPr>
          <w:p w:rsidR="00811FF5" w:rsidRDefault="003C3475">
            <w:pPr>
              <w:pStyle w:val="Tabelleninhalt"/>
            </w:pPr>
            <w:r>
              <w:t xml:space="preserve">Time </w:t>
            </w:r>
            <w:proofErr w:type="spellStart"/>
            <w:r>
              <w:t>Period</w:t>
            </w:r>
            <w:proofErr w:type="spellEnd"/>
          </w:p>
        </w:tc>
        <w:tc>
          <w:tcPr>
            <w:tcW w:w="6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FF5" w:rsidRDefault="00811FF5">
            <w:pPr>
              <w:pStyle w:val="Tabelleninhalt"/>
            </w:pPr>
          </w:p>
        </w:tc>
      </w:tr>
      <w:tr w:rsidR="00811FF5"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</w:tcPr>
          <w:p w:rsidR="00811FF5" w:rsidRDefault="003C3475">
            <w:pPr>
              <w:pStyle w:val="Tabelleninhalt"/>
            </w:pPr>
            <w:r>
              <w:t xml:space="preserve">Administrative </w:t>
            </w:r>
            <w:proofErr w:type="spellStart"/>
            <w:r>
              <w:t>Contact</w:t>
            </w:r>
            <w:proofErr w:type="spellEnd"/>
          </w:p>
        </w:tc>
        <w:tc>
          <w:tcPr>
            <w:tcW w:w="6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FF5" w:rsidRDefault="00811FF5">
            <w:pPr>
              <w:pStyle w:val="Tabelleninhalt"/>
            </w:pPr>
          </w:p>
        </w:tc>
      </w:tr>
      <w:tr w:rsidR="00811FF5"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</w:tcPr>
          <w:p w:rsidR="00811FF5" w:rsidRDefault="003C3475">
            <w:pPr>
              <w:pStyle w:val="Tabelleninhalt"/>
            </w:pPr>
            <w:r>
              <w:t>Supervisor</w:t>
            </w:r>
          </w:p>
        </w:tc>
        <w:tc>
          <w:tcPr>
            <w:tcW w:w="6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FF5" w:rsidRDefault="00811FF5">
            <w:pPr>
              <w:pStyle w:val="Tabelleninhalt"/>
            </w:pPr>
          </w:p>
        </w:tc>
      </w:tr>
      <w:tr w:rsidR="00811FF5">
        <w:tc>
          <w:tcPr>
            <w:tcW w:w="935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FF5" w:rsidRDefault="003C3475">
            <w:pPr>
              <w:pStyle w:val="Tabellenberschrift"/>
            </w:pPr>
            <w:r>
              <w:t>Task Description</w:t>
            </w:r>
          </w:p>
        </w:tc>
      </w:tr>
      <w:tr w:rsidR="00811FF5"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</w:tcPr>
          <w:p w:rsidR="00811FF5" w:rsidRDefault="003C3475">
            <w:pPr>
              <w:pStyle w:val="Tabelleninhalt"/>
            </w:pPr>
            <w:r>
              <w:t>Abstract</w:t>
            </w:r>
          </w:p>
        </w:tc>
        <w:tc>
          <w:tcPr>
            <w:tcW w:w="6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FF5" w:rsidRDefault="00811FF5">
            <w:pPr>
              <w:pStyle w:val="Tabelleninhalt"/>
            </w:pPr>
          </w:p>
        </w:tc>
      </w:tr>
      <w:tr w:rsidR="00811FF5"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</w:tcPr>
          <w:p w:rsidR="00811FF5" w:rsidRDefault="003C3475">
            <w:pPr>
              <w:pStyle w:val="Tabelleninhalt"/>
            </w:pPr>
            <w:r>
              <w:t>Scientific Embedding</w:t>
            </w:r>
          </w:p>
        </w:tc>
        <w:tc>
          <w:tcPr>
            <w:tcW w:w="6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FF5" w:rsidRDefault="00811FF5">
            <w:pPr>
              <w:pStyle w:val="Tabelleninhalt"/>
            </w:pPr>
          </w:p>
        </w:tc>
      </w:tr>
    </w:tbl>
    <w:p w:rsidR="00811FF5" w:rsidRDefault="003C3475">
      <w:pPr>
        <w:pStyle w:val="Tabellenberschrift"/>
      </w:pPr>
      <w:r>
        <w:t>Institution</w:t>
      </w:r>
    </w:p>
    <w:tbl>
      <w:tblPr>
        <w:tblW w:w="93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76"/>
        <w:gridCol w:w="6179"/>
      </w:tblGrid>
      <w:tr w:rsidR="00811FF5"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1FF5" w:rsidRDefault="003C3475">
            <w:pPr>
              <w:pStyle w:val="Tabelleninhalt"/>
            </w:pPr>
            <w:r>
              <w:t>Website</w:t>
            </w:r>
          </w:p>
        </w:tc>
        <w:tc>
          <w:tcPr>
            <w:tcW w:w="6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FF5" w:rsidRDefault="00811FF5">
            <w:pPr>
              <w:pStyle w:val="Tabelleninhalt"/>
            </w:pPr>
          </w:p>
        </w:tc>
      </w:tr>
      <w:tr w:rsidR="00811FF5"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</w:tcPr>
          <w:p w:rsidR="00811FF5" w:rsidRDefault="003C3475">
            <w:pPr>
              <w:pStyle w:val="Tabelleninhalt"/>
            </w:pPr>
            <w:r>
              <w:t>Special Information</w:t>
            </w:r>
          </w:p>
        </w:tc>
        <w:tc>
          <w:tcPr>
            <w:tcW w:w="6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FF5" w:rsidRDefault="00811FF5">
            <w:pPr>
              <w:pStyle w:val="Tabelleninhalt"/>
            </w:pPr>
          </w:p>
        </w:tc>
      </w:tr>
    </w:tbl>
    <w:p w:rsidR="00811FF5" w:rsidRDefault="003C3475">
      <w:r>
        <w:br w:type="page"/>
      </w:r>
    </w:p>
    <w:p w:rsidR="00811FF5" w:rsidRDefault="003C3475">
      <w:pPr>
        <w:pStyle w:val="Hinweise"/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Please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note</w:t>
      </w:r>
      <w:proofErr w:type="spellEnd"/>
      <w:r>
        <w:rPr>
          <w:sz w:val="20"/>
          <w:szCs w:val="20"/>
        </w:rPr>
        <w:t>:</w:t>
      </w:r>
    </w:p>
    <w:p w:rsidR="00811FF5" w:rsidRDefault="003C3475">
      <w:pPr>
        <w:pStyle w:val="Hinweise"/>
        <w:ind w:left="360"/>
        <w:rPr>
          <w:sz w:val="20"/>
          <w:szCs w:val="20"/>
        </w:rPr>
      </w:pPr>
      <w:r>
        <w:rPr>
          <w:sz w:val="20"/>
          <w:szCs w:val="20"/>
          <w:lang w:val="en-US"/>
        </w:rPr>
        <w:t>What is special about the internship?</w:t>
      </w:r>
    </w:p>
    <w:p w:rsidR="00811FF5" w:rsidRDefault="003C3475">
      <w:pPr>
        <w:pStyle w:val="Hinweis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The students should apply the skills they have gained so far in their internship and acquire </w:t>
      </w:r>
      <w:r>
        <w:rPr>
          <w:sz w:val="20"/>
          <w:szCs w:val="20"/>
          <w:lang w:val="en-US"/>
        </w:rPr>
        <w:t>experience in the independent execution of a real task embedded in an ongoing or planned research project. In addition to the analysis and development of a problem-solving strategy, students should also develop skills in integrating themselves in the worki</w:t>
      </w:r>
      <w:r>
        <w:rPr>
          <w:sz w:val="20"/>
          <w:szCs w:val="20"/>
          <w:lang w:val="en-US"/>
        </w:rPr>
        <w:t xml:space="preserve">ng procedures and requirement profiles </w:t>
      </w:r>
      <w:proofErr w:type="gramStart"/>
      <w:r>
        <w:rPr>
          <w:sz w:val="20"/>
          <w:szCs w:val="20"/>
          <w:lang w:val="en-US"/>
        </w:rPr>
        <w:t>of a research institutions</w:t>
      </w:r>
      <w:proofErr w:type="gramEnd"/>
      <w:r>
        <w:rPr>
          <w:sz w:val="20"/>
          <w:szCs w:val="20"/>
          <w:lang w:val="en-US"/>
        </w:rPr>
        <w:t>. In this respect, the internship differs fundamentally from a traineeship, in which students work under supervision and learn new techniques and methods according to the specifications of th</w:t>
      </w:r>
      <w:r>
        <w:rPr>
          <w:sz w:val="20"/>
          <w:szCs w:val="20"/>
          <w:lang w:val="en-US"/>
        </w:rPr>
        <w:t>e practical training position.</w:t>
      </w:r>
    </w:p>
    <w:p w:rsidR="00811FF5" w:rsidRDefault="003C3475">
      <w:pPr>
        <w:pStyle w:val="Hinweis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lang w:val="en-US"/>
        </w:rPr>
        <w:t>Students should work on clearly defined research questions, but it is not their task to develop a scientific question themselves. Adequate problems can be the selection and application of a digital method to a limited stock o</w:t>
      </w:r>
      <w:r>
        <w:rPr>
          <w:sz w:val="20"/>
          <w:szCs w:val="20"/>
          <w:lang w:val="en-US"/>
        </w:rPr>
        <w:t>f sources, or the implementation of a</w:t>
      </w:r>
      <w:r w:rsidR="00BD550D">
        <w:rPr>
          <w:sz w:val="20"/>
          <w:szCs w:val="20"/>
          <w:lang w:val="en-US"/>
        </w:rPr>
        <w:t xml:space="preserve"> technical solution for catalog</w:t>
      </w:r>
      <w:r>
        <w:rPr>
          <w:sz w:val="20"/>
          <w:szCs w:val="20"/>
          <w:lang w:val="en-US"/>
        </w:rPr>
        <w:t>ing sources.</w:t>
      </w:r>
    </w:p>
    <w:p w:rsidR="00811FF5" w:rsidRDefault="003C3475">
      <w:pPr>
        <w:pStyle w:val="Hinweis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The practical project is to </w:t>
      </w:r>
      <w:proofErr w:type="gramStart"/>
      <w:r>
        <w:rPr>
          <w:sz w:val="20"/>
          <w:szCs w:val="20"/>
          <w:lang w:val="en-US"/>
        </w:rPr>
        <w:t>be completed</w:t>
      </w:r>
      <w:proofErr w:type="gramEnd"/>
      <w:r>
        <w:rPr>
          <w:sz w:val="20"/>
          <w:szCs w:val="20"/>
          <w:lang w:val="en-US"/>
        </w:rPr>
        <w:t xml:space="preserve"> in ten consecutive weeks. This includes both the practical work on</w:t>
      </w:r>
      <w:bookmarkStart w:id="0" w:name="_GoBack"/>
      <w:bookmarkEnd w:id="0"/>
      <w:r>
        <w:rPr>
          <w:sz w:val="20"/>
          <w:szCs w:val="20"/>
          <w:lang w:val="en-US"/>
        </w:rPr>
        <w:t xml:space="preserve"> the respective project as well as the preparation of the approx. </w:t>
      </w:r>
      <w:r>
        <w:rPr>
          <w:sz w:val="20"/>
          <w:szCs w:val="20"/>
          <w:lang w:val="en-US"/>
        </w:rPr>
        <w:t xml:space="preserve">20-page report. The time allocation is then free and according to the needs of the project. For example, students can work on a project for eight weeks and use another two to prepare their report. The report is an examination </w:t>
      </w:r>
      <w:proofErr w:type="gramStart"/>
      <w:r>
        <w:rPr>
          <w:sz w:val="20"/>
          <w:szCs w:val="20"/>
          <w:lang w:val="en-US"/>
        </w:rPr>
        <w:t>paper and therefore not public</w:t>
      </w:r>
      <w:proofErr w:type="gramEnd"/>
      <w:r>
        <w:rPr>
          <w:sz w:val="20"/>
          <w:szCs w:val="20"/>
          <w:lang w:val="en-US"/>
        </w:rPr>
        <w:t xml:space="preserve"> and only accessible to the examiners. The preparation of further reports for the practical project units is part of the negotiation between students and the practical project unit.</w:t>
      </w:r>
    </w:p>
    <w:p w:rsidR="00811FF5" w:rsidRDefault="003C3475">
      <w:pPr>
        <w:pStyle w:val="Hinweise"/>
        <w:ind w:left="360"/>
        <w:rPr>
          <w:sz w:val="20"/>
          <w:szCs w:val="20"/>
        </w:rPr>
      </w:pPr>
      <w:r>
        <w:rPr>
          <w:sz w:val="20"/>
          <w:szCs w:val="20"/>
          <w:lang w:val="en-US"/>
        </w:rPr>
        <w:t>What requirements must a practice project unit fulfil?</w:t>
      </w:r>
    </w:p>
    <w:p w:rsidR="00811FF5" w:rsidRDefault="003C3475">
      <w:pPr>
        <w:pStyle w:val="Hinweis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lang w:val="en-US"/>
        </w:rPr>
        <w:t>Although students o</w:t>
      </w:r>
      <w:r>
        <w:rPr>
          <w:sz w:val="20"/>
          <w:szCs w:val="20"/>
          <w:lang w:val="en-US"/>
        </w:rPr>
        <w:t>ften already have in-depth knowledge of project-relevant content, the project office must provide professional guidance for both the academic and digital work.</w:t>
      </w:r>
    </w:p>
    <w:p w:rsidR="00811FF5" w:rsidRDefault="003C3475">
      <w:pPr>
        <w:pStyle w:val="Hinweise"/>
        <w:ind w:left="720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In a simple formula: Students </w:t>
      </w:r>
      <w:proofErr w:type="gramStart"/>
      <w:r>
        <w:rPr>
          <w:sz w:val="20"/>
          <w:szCs w:val="20"/>
          <w:lang w:val="en-US"/>
        </w:rPr>
        <w:t>should not be assigned</w:t>
      </w:r>
      <w:proofErr w:type="gramEnd"/>
      <w:r>
        <w:rPr>
          <w:sz w:val="20"/>
          <w:szCs w:val="20"/>
          <w:lang w:val="en-US"/>
        </w:rPr>
        <w:t xml:space="preserve"> to tasks that cannot be performed by the pr</w:t>
      </w:r>
      <w:r>
        <w:rPr>
          <w:sz w:val="20"/>
          <w:szCs w:val="20"/>
          <w:lang w:val="en-US"/>
        </w:rPr>
        <w:t>oject office itself.</w:t>
      </w:r>
    </w:p>
    <w:p w:rsidR="00811FF5" w:rsidRDefault="003C3475">
      <w:pPr>
        <w:pStyle w:val="Hinweise"/>
        <w:ind w:left="360"/>
        <w:rPr>
          <w:sz w:val="20"/>
          <w:szCs w:val="20"/>
        </w:rPr>
      </w:pPr>
      <w:r>
        <w:rPr>
          <w:sz w:val="20"/>
          <w:szCs w:val="20"/>
          <w:lang w:val="en-US"/>
        </w:rPr>
        <w:t>What previous knowledge do the students have?</w:t>
      </w:r>
    </w:p>
    <w:p w:rsidR="00811FF5" w:rsidRDefault="003C3475">
      <w:pPr>
        <w:pStyle w:val="Hinweis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lang w:val="en-US"/>
        </w:rPr>
        <w:t>Students' previous knowledge includes a Bachelor's degree in a subject in the humanities and cultural sciences (e.g. history, archaeology or book science) or a subject with a focus on infor</w:t>
      </w:r>
      <w:r>
        <w:rPr>
          <w:sz w:val="20"/>
          <w:szCs w:val="20"/>
          <w:lang w:val="en-US"/>
        </w:rPr>
        <w:t xml:space="preserve">mation science (e.g. </w:t>
      </w:r>
      <w:proofErr w:type="spellStart"/>
      <w:r>
        <w:rPr>
          <w:sz w:val="20"/>
          <w:szCs w:val="20"/>
          <w:lang w:val="en-US"/>
        </w:rPr>
        <w:t>geoinformatics</w:t>
      </w:r>
      <w:proofErr w:type="spellEnd"/>
      <w:r>
        <w:rPr>
          <w:sz w:val="20"/>
          <w:szCs w:val="20"/>
          <w:lang w:val="en-US"/>
        </w:rPr>
        <w:t xml:space="preserve">, media informatics). At the time of starting the practical project, all students in the Master's </w:t>
      </w:r>
      <w:proofErr w:type="spellStart"/>
      <w:r>
        <w:rPr>
          <w:sz w:val="20"/>
          <w:szCs w:val="20"/>
          <w:lang w:val="en-US"/>
        </w:rPr>
        <w:t>programme</w:t>
      </w:r>
      <w:proofErr w:type="spellEnd"/>
      <w:r>
        <w:rPr>
          <w:sz w:val="20"/>
          <w:szCs w:val="20"/>
          <w:lang w:val="en-US"/>
        </w:rPr>
        <w:t xml:space="preserve"> have basic knowledge of computer science, object-oriented programming, data structures and quantitative methods. </w:t>
      </w:r>
      <w:r>
        <w:rPr>
          <w:sz w:val="20"/>
          <w:szCs w:val="20"/>
          <w:lang w:val="en-US"/>
        </w:rPr>
        <w:t xml:space="preserve">Depending on their chosen subject area, students also have knowledge of working with </w:t>
      </w:r>
      <w:proofErr w:type="spellStart"/>
      <w:r>
        <w:rPr>
          <w:sz w:val="20"/>
          <w:szCs w:val="20"/>
          <w:lang w:val="en-US"/>
        </w:rPr>
        <w:t>geoinformation</w:t>
      </w:r>
      <w:proofErr w:type="spellEnd"/>
      <w:r>
        <w:rPr>
          <w:sz w:val="20"/>
          <w:szCs w:val="20"/>
          <w:lang w:val="en-US"/>
        </w:rPr>
        <w:t xml:space="preserve">, digital editing, computer linguistics, </w:t>
      </w:r>
      <w:proofErr w:type="gramStart"/>
      <w:r>
        <w:rPr>
          <w:sz w:val="20"/>
          <w:szCs w:val="20"/>
          <w:lang w:val="en-US"/>
        </w:rPr>
        <w:t>natural</w:t>
      </w:r>
      <w:proofErr w:type="gramEnd"/>
      <w:r>
        <w:rPr>
          <w:sz w:val="20"/>
          <w:szCs w:val="20"/>
          <w:lang w:val="en-US"/>
        </w:rPr>
        <w:t xml:space="preserve"> language processing or music informatics. Web applications and the work on and with interfaces is only part </w:t>
      </w:r>
      <w:r>
        <w:rPr>
          <w:sz w:val="20"/>
          <w:szCs w:val="20"/>
          <w:lang w:val="en-US"/>
        </w:rPr>
        <w:t xml:space="preserve">of the 3rd semester and </w:t>
      </w:r>
      <w:proofErr w:type="gramStart"/>
      <w:r>
        <w:rPr>
          <w:sz w:val="20"/>
          <w:szCs w:val="20"/>
          <w:lang w:val="en-US"/>
        </w:rPr>
        <w:t>is only taught</w:t>
      </w:r>
      <w:proofErr w:type="gramEnd"/>
      <w:r>
        <w:rPr>
          <w:sz w:val="20"/>
          <w:szCs w:val="20"/>
          <w:lang w:val="en-US"/>
        </w:rPr>
        <w:t xml:space="preserve"> after (!) the practical project.</w:t>
      </w:r>
    </w:p>
    <w:sectPr w:rsidR="00811FF5">
      <w:headerReference w:type="default" r:id="rId7"/>
      <w:footerReference w:type="default" r:id="rId8"/>
      <w:pgSz w:w="11906" w:h="16838"/>
      <w:pgMar w:top="1624" w:right="1134" w:bottom="1628" w:left="1417" w:header="1134" w:footer="1134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75" w:rsidRDefault="003C3475">
      <w:r>
        <w:separator/>
      </w:r>
    </w:p>
  </w:endnote>
  <w:endnote w:type="continuationSeparator" w:id="0">
    <w:p w:rsidR="003C3475" w:rsidRDefault="003C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SimpleStd-Bold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mo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FF5" w:rsidRDefault="003C3475">
    <w:pPr>
      <w:pStyle w:val="Fuzeile"/>
      <w:rPr>
        <w:rFonts w:hint="eastAsia"/>
      </w:rPr>
    </w:pPr>
    <w:r>
      <w:tab/>
      <w:t xml:space="preserve">Seite </w:t>
    </w:r>
    <w:r>
      <w:fldChar w:fldCharType="begin"/>
    </w:r>
    <w:r>
      <w:instrText>PAGE</w:instrText>
    </w:r>
    <w:r>
      <w:fldChar w:fldCharType="separate"/>
    </w:r>
    <w:r w:rsidR="00BD550D">
      <w:rPr>
        <w:noProof/>
      </w:rPr>
      <w:t>2</w:t>
    </w:r>
    <w:r>
      <w:fldChar w:fldCharType="end"/>
    </w:r>
    <w:r>
      <w:t xml:space="preserve"> von </w:t>
    </w:r>
    <w:r>
      <w:fldChar w:fldCharType="begin"/>
    </w:r>
    <w:r>
      <w:instrText>NUMPAGES</w:instrText>
    </w:r>
    <w:r>
      <w:fldChar w:fldCharType="separate"/>
    </w:r>
    <w:r w:rsidR="00BD550D">
      <w:rPr>
        <w:noProof/>
      </w:rPr>
      <w:t>2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75" w:rsidRDefault="003C3475">
      <w:r>
        <w:separator/>
      </w:r>
    </w:p>
  </w:footnote>
  <w:footnote w:type="continuationSeparator" w:id="0">
    <w:p w:rsidR="003C3475" w:rsidRDefault="003C3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FF5" w:rsidRDefault="003C3475">
    <w:pPr>
      <w:pStyle w:val="Kopfzeile"/>
      <w:rPr>
        <w:rFonts w:hint="eastAsia"/>
        <w:lang w:val="en-US"/>
      </w:rPr>
    </w:pPr>
    <w:r>
      <w:rPr>
        <w:lang w:val="en-US"/>
      </w:rPr>
      <w:t>MA-Program: Digital Methods in the Humanities and Cultural Studies</w:t>
    </w:r>
    <w:r>
      <w:rPr>
        <w:lang w:val="en-US"/>
      </w:rPr>
      <w:tab/>
      <w:t>202</w:t>
    </w:r>
    <w:r w:rsidR="00BD550D">
      <w:rPr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F16"/>
    <w:multiLevelType w:val="multilevel"/>
    <w:tmpl w:val="F29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E353459"/>
    <w:multiLevelType w:val="multilevel"/>
    <w:tmpl w:val="02A02A74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F5"/>
    <w:rsid w:val="003C3475"/>
    <w:rsid w:val="00811FF5"/>
    <w:rsid w:val="00B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3467"/>
  <w15:docId w15:val="{6580A037-FE88-4B32-9251-11810A4F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berschrift"/>
    <w:next w:val="Textkrper"/>
    <w:uiPriority w:val="9"/>
    <w:qFormat/>
    <w:pPr>
      <w:pageBreakBefore/>
      <w:numPr>
        <w:numId w:val="1"/>
      </w:numPr>
      <w:spacing w:before="0" w:after="170" w:line="288" w:lineRule="auto"/>
      <w:ind w:left="0" w:firstLine="0"/>
      <w:outlineLvl w:val="0"/>
    </w:pPr>
    <w:rPr>
      <w:bCs/>
      <w:szCs w:val="32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Cs/>
      <w:sz w:val="26"/>
      <w:szCs w:val="32"/>
    </w:rPr>
  </w:style>
  <w:style w:type="paragraph" w:styleId="berschrift3">
    <w:name w:val="heading 3"/>
    <w:basedOn w:val="berschrift"/>
    <w:next w:val="Textkrper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Cs/>
      <w:sz w:val="24"/>
    </w:rPr>
  </w:style>
  <w:style w:type="paragraph" w:styleId="berschrift4">
    <w:name w:val="heading 4"/>
    <w:basedOn w:val="berschrift"/>
    <w:next w:val="Textkrper"/>
    <w:uiPriority w:val="9"/>
    <w:semiHidden/>
    <w:unhideWhenUsed/>
    <w:qFormat/>
    <w:pPr>
      <w:numPr>
        <w:ilvl w:val="3"/>
        <w:numId w:val="1"/>
      </w:numPr>
      <w:spacing w:before="120"/>
      <w:ind w:left="0" w:firstLine="0"/>
      <w:outlineLvl w:val="3"/>
    </w:pPr>
    <w:rPr>
      <w:bCs/>
      <w:iCs/>
      <w:sz w:val="22"/>
      <w:szCs w:val="27"/>
    </w:rPr>
  </w:style>
  <w:style w:type="paragraph" w:styleId="berschrift5">
    <w:name w:val="heading 5"/>
    <w:basedOn w:val="berschrift"/>
    <w:next w:val="Textkrper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Zeichenformat">
    <w:name w:val="Zeichenformat"/>
    <w:qFormat/>
  </w:style>
  <w:style w:type="character" w:customStyle="1" w:styleId="Internetverknpfung">
    <w:name w:val="Internetverknüpfung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b/>
      <w:sz w:val="28"/>
      <w:szCs w:val="28"/>
    </w:rPr>
  </w:style>
  <w:style w:type="paragraph" w:styleId="Textkrper">
    <w:name w:val="Body Text"/>
    <w:basedOn w:val="Standard"/>
    <w:pPr>
      <w:spacing w:before="57" w:after="57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Titel">
    <w:name w:val="Title"/>
    <w:basedOn w:val="berschrift"/>
    <w:next w:val="Untertitel"/>
    <w:uiPriority w:val="10"/>
    <w:qFormat/>
    <w:pPr>
      <w:spacing w:before="0" w:after="567"/>
      <w:jc w:val="center"/>
    </w:pPr>
    <w:rPr>
      <w:bCs/>
      <w:szCs w:val="36"/>
    </w:rPr>
  </w:style>
  <w:style w:type="paragraph" w:styleId="Untertitel">
    <w:name w:val="Subtitle"/>
    <w:basedOn w:val="berschrift"/>
    <w:next w:val="Textkrper"/>
    <w:uiPriority w:val="11"/>
    <w:qFormat/>
    <w:pPr>
      <w:spacing w:before="0" w:after="850"/>
      <w:jc w:val="center"/>
    </w:pPr>
    <w:rPr>
      <w:b w:val="0"/>
      <w:iCs/>
      <w:sz w:val="24"/>
    </w:rPr>
  </w:style>
  <w:style w:type="paragraph" w:customStyle="1" w:styleId="Autoren">
    <w:name w:val="Autoren"/>
    <w:basedOn w:val="Textkrper"/>
    <w:qFormat/>
    <w:pPr>
      <w:jc w:val="center"/>
    </w:pPr>
  </w:style>
  <w:style w:type="paragraph" w:styleId="Aufzhlungszeichen3">
    <w:name w:val="List Bullet 3"/>
    <w:basedOn w:val="Liste"/>
    <w:pPr>
      <w:spacing w:before="0" w:after="120"/>
      <w:ind w:left="360" w:hanging="360"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  <w:rPr>
      <w:rFonts w:ascii="Roboto" w:hAnsi="Roboto"/>
      <w:sz w:val="18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spacing w:before="170" w:after="113"/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677"/>
        <w:tab w:val="right" w:pos="9355"/>
      </w:tabs>
    </w:pPr>
    <w:rPr>
      <w:rFonts w:ascii="Arimo" w:hAnsi="Arimo"/>
      <w:sz w:val="18"/>
    </w:rPr>
  </w:style>
  <w:style w:type="paragraph" w:styleId="Zitat">
    <w:name w:val="Quote"/>
    <w:basedOn w:val="Standard"/>
    <w:qFormat/>
    <w:pPr>
      <w:spacing w:after="283"/>
      <w:ind w:left="567" w:right="567"/>
    </w:pPr>
  </w:style>
  <w:style w:type="paragraph" w:customStyle="1" w:styleId="Abbildung">
    <w:name w:val="Abbildung"/>
    <w:basedOn w:val="Beschriftung"/>
    <w:qFormat/>
  </w:style>
  <w:style w:type="paragraph" w:styleId="Indexberschrift">
    <w:name w:val="index heading"/>
    <w:basedOn w:val="berschrift"/>
    <w:qFormat/>
    <w:pPr>
      <w:suppressLineNumbers/>
    </w:pPr>
    <w:rPr>
      <w:bCs/>
      <w:sz w:val="32"/>
      <w:szCs w:val="32"/>
    </w:rPr>
  </w:style>
  <w:style w:type="paragraph" w:styleId="RGV-berschrift">
    <w:name w:val="toa heading"/>
    <w:basedOn w:val="berschrift"/>
    <w:qFormat/>
    <w:pPr>
      <w:suppressLineNumbers/>
    </w:pPr>
    <w:rPr>
      <w:bCs/>
      <w:szCs w:val="32"/>
    </w:rPr>
  </w:style>
  <w:style w:type="paragraph" w:styleId="Rechtsgrundlagenverzeichnis">
    <w:name w:val="table of authorities"/>
    <w:basedOn w:val="berschrift"/>
    <w:qFormat/>
    <w:pPr>
      <w:suppressLineNumbers/>
    </w:pPr>
    <w:rPr>
      <w:bCs/>
      <w:szCs w:val="32"/>
    </w:rPr>
  </w:style>
  <w:style w:type="paragraph" w:customStyle="1" w:styleId="Hinweise">
    <w:name w:val="Hinweise"/>
    <w:basedOn w:val="Textkrper"/>
    <w:qFormat/>
    <w:rPr>
      <w:sz w:val="18"/>
      <w:szCs w:val="18"/>
    </w:rPr>
  </w:style>
  <w:style w:type="numbering" w:customStyle="1" w:styleId="WW8Num52">
    <w:name w:val="WW8Num52"/>
    <w:qFormat/>
  </w:style>
  <w:style w:type="numbering" w:customStyle="1" w:styleId="WW8Num37">
    <w:name w:val="WW8Num37"/>
    <w:qFormat/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ein Angebot in einem Praxisprojekt</dc:title>
  <dc:subject>Digitale Methodik in den Geistes- und Kulturwissenschaften M8a</dc:subject>
  <dc:creator>Kai-Christian Bruhn</dc:creator>
  <dc:description/>
  <cp:lastModifiedBy>Kai-Christian Bruhn</cp:lastModifiedBy>
  <cp:revision>4</cp:revision>
  <dcterms:created xsi:type="dcterms:W3CDTF">2017-09-28T11:48:00Z</dcterms:created>
  <dcterms:modified xsi:type="dcterms:W3CDTF">2022-03-09T12:29:00Z</dcterms:modified>
  <dc:language>de-DE</dc:language>
</cp:coreProperties>
</file>